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35C3">
      <w:pPr>
        <w:spacing w:line="396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济南鲍德冶金石灰石有限公司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采购振动喂料机齿轮和鄂破拉杆专用轴承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询比价公告</w:t>
      </w:r>
    </w:p>
    <w:p w14:paraId="5C4B7F9A">
      <w:pPr>
        <w:spacing w:line="520" w:lineRule="exact"/>
        <w:ind w:firstLine="640" w:firstLineChars="200"/>
        <w:jc w:val="left"/>
        <w:rPr>
          <w:rFonts w:ascii="仿宋_GB2312" w:hAnsi="仿宋_GB2312"/>
          <w:color w:val="000000"/>
          <w:sz w:val="32"/>
          <w:szCs w:val="32"/>
        </w:rPr>
      </w:pPr>
    </w:p>
    <w:p w14:paraId="16AB009E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采购振动喂料机齿轮和鄂破拉杆专用轴承询比价</w:t>
      </w:r>
    </w:p>
    <w:p w14:paraId="6B69D396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1255260521002</w:t>
      </w:r>
      <w:bookmarkStart w:id="0" w:name="_GoBack"/>
      <w:bookmarkEnd w:id="0"/>
    </w:p>
    <w:p w14:paraId="66500FA7">
      <w:pPr>
        <w:numPr>
          <w:ilvl w:val="0"/>
          <w:numId w:val="1"/>
        </w:numPr>
        <w:spacing w:line="560" w:lineRule="exact"/>
        <w:ind w:left="210" w:leftChars="10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询价内容：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579"/>
        <w:gridCol w:w="1209"/>
        <w:gridCol w:w="750"/>
        <w:gridCol w:w="750"/>
        <w:gridCol w:w="1716"/>
        <w:gridCol w:w="1125"/>
      </w:tblGrid>
      <w:tr w14:paraId="6C63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noWrap/>
            <w:vAlign w:val="center"/>
          </w:tcPr>
          <w:p w14:paraId="309A8945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579" w:type="dxa"/>
            <w:noWrap/>
            <w:vAlign w:val="center"/>
          </w:tcPr>
          <w:p w14:paraId="573AE4DE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标的名称</w:t>
            </w:r>
          </w:p>
        </w:tc>
        <w:tc>
          <w:tcPr>
            <w:tcW w:w="1209" w:type="dxa"/>
            <w:noWrap/>
            <w:vAlign w:val="center"/>
          </w:tcPr>
          <w:p w14:paraId="46A24FBF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参考型号及说明</w:t>
            </w:r>
          </w:p>
        </w:tc>
        <w:tc>
          <w:tcPr>
            <w:tcW w:w="750" w:type="dxa"/>
            <w:noWrap w:val="0"/>
            <w:vAlign w:val="center"/>
          </w:tcPr>
          <w:p w14:paraId="6816B049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750" w:type="dxa"/>
            <w:noWrap/>
            <w:vAlign w:val="center"/>
          </w:tcPr>
          <w:p w14:paraId="275787BC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  <w:tc>
          <w:tcPr>
            <w:tcW w:w="1716" w:type="dxa"/>
            <w:noWrap/>
            <w:vAlign w:val="center"/>
          </w:tcPr>
          <w:p w14:paraId="2AE6C212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到货地点</w:t>
            </w:r>
          </w:p>
        </w:tc>
        <w:tc>
          <w:tcPr>
            <w:tcW w:w="1125" w:type="dxa"/>
            <w:noWrap/>
            <w:vAlign w:val="center"/>
          </w:tcPr>
          <w:p w14:paraId="7A43967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交货期</w:t>
            </w:r>
          </w:p>
        </w:tc>
      </w:tr>
      <w:tr w14:paraId="7973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AD6F2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6D4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轴承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F8F6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ZSW1560振动喂料机和PE1200*1500鄂式破碎机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5E0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BDE7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3D880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济南鲍德冶金石灰石有限公司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2C28F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天</w:t>
            </w:r>
          </w:p>
        </w:tc>
      </w:tr>
      <w:tr w14:paraId="08F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A0BF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401B">
            <w:pPr>
              <w:spacing w:line="240" w:lineRule="atLeas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齿轮</w:t>
            </w:r>
          </w:p>
        </w:tc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E884">
            <w:pPr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C1BC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DD47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34742">
            <w:pPr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济南鲍德冶金石灰石有限公司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38A69">
            <w:pPr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天</w:t>
            </w:r>
          </w:p>
        </w:tc>
      </w:tr>
    </w:tbl>
    <w:p w14:paraId="698270CB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、资格要求</w:t>
      </w:r>
    </w:p>
    <w:p w14:paraId="61347C48">
      <w:pPr>
        <w:spacing w:line="520" w:lineRule="exact"/>
        <w:ind w:left="420" w:leftChars="2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1、依法成立，具有法人资格和一般纳税人资格；</w:t>
      </w:r>
    </w:p>
    <w:p w14:paraId="0374DEBE">
      <w:pPr>
        <w:spacing w:line="520" w:lineRule="exact"/>
        <w:ind w:left="420" w:leftChars="2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2、具有良好的企业信誉和健全的财务会计制度；</w:t>
      </w:r>
    </w:p>
    <w:p w14:paraId="6C418BC9">
      <w:pPr>
        <w:spacing w:line="520" w:lineRule="exact"/>
        <w:ind w:left="420" w:leftChars="2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3、具有履行合同必需的设备、专业技术、资质能力；</w:t>
      </w:r>
    </w:p>
    <w:p w14:paraId="4EBA59A6">
      <w:pPr>
        <w:spacing w:line="520" w:lineRule="exact"/>
        <w:ind w:left="420" w:leftChars="2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4、有依法缴纳税收和社会保障金的良好纪录；</w:t>
      </w:r>
    </w:p>
    <w:p w14:paraId="6A3D96EE">
      <w:pPr>
        <w:spacing w:line="520" w:lineRule="exact"/>
        <w:ind w:left="420" w:leftChars="2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5、在经营活动中没有违法记录；</w:t>
      </w:r>
    </w:p>
    <w:p w14:paraId="0FC67EFB">
      <w:pPr>
        <w:spacing w:line="520" w:lineRule="exact"/>
        <w:ind w:left="420" w:leftChars="2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、报价方式及时间</w:t>
      </w:r>
    </w:p>
    <w:p w14:paraId="62FA3196">
      <w:pPr>
        <w:spacing w:line="520" w:lineRule="exact"/>
        <w:ind w:left="420" w:leftChars="2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</w:t>
      </w:r>
    </w:p>
    <w:p w14:paraId="7F99B544">
      <w:pPr>
        <w:spacing w:line="520" w:lineRule="exact"/>
        <w:ind w:left="420" w:leftChars="200" w:firstLine="320" w:firstLineChars="1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开标时间：202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:30时</w:t>
      </w:r>
    </w:p>
    <w:p w14:paraId="49C215ED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013EFB17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请贵单位于202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02066CBC">
      <w:pPr>
        <w:spacing w:line="520" w:lineRule="exact"/>
        <w:ind w:left="420" w:left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需方组织询比价联系人：郑工，电话：15098838165</w:t>
      </w:r>
    </w:p>
    <w:p w14:paraId="1309F578">
      <w:pPr>
        <w:spacing w:line="520" w:lineRule="exact"/>
        <w:ind w:left="420" w:left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需方业务联系人：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左工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15954105065</w:t>
      </w:r>
    </w:p>
    <w:p w14:paraId="0E353677">
      <w:pPr>
        <w:spacing w:line="520" w:lineRule="exact"/>
        <w:ind w:left="420" w:leftChars="200" w:firstLine="3200" w:firstLineChars="10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济南鲍德冶金石灰石有限公司</w:t>
      </w:r>
    </w:p>
    <w:p w14:paraId="6F7FC545">
      <w:pPr>
        <w:spacing w:line="520" w:lineRule="exact"/>
        <w:ind w:left="420" w:left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     </w:t>
      </w:r>
    </w:p>
    <w:p w14:paraId="0F38F5CF">
      <w:pPr>
        <w:spacing w:line="520" w:lineRule="exact"/>
        <w:ind w:left="420" w:left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F6B1DD"/>
    <w:p w14:paraId="17B92771"/>
    <w:p w14:paraId="50C04B28"/>
    <w:p w14:paraId="0E099634"/>
    <w:p w14:paraId="30A267C6"/>
    <w:p w14:paraId="0CC914C5"/>
    <w:p w14:paraId="0FCCCF7D"/>
    <w:p w14:paraId="1D049807"/>
    <w:p w14:paraId="6C5E4318"/>
    <w:p w14:paraId="3BF37355"/>
    <w:p w14:paraId="7C2E1ABE"/>
    <w:p w14:paraId="22616E6E"/>
    <w:p w14:paraId="0460EADA"/>
    <w:p w14:paraId="5B50630B"/>
    <w:p w14:paraId="12E73778"/>
    <w:p w14:paraId="4C4C0095"/>
    <w:p w14:paraId="45E0D539"/>
    <w:p w14:paraId="5E7C8E31"/>
    <w:p w14:paraId="3758CAE6"/>
    <w:p w14:paraId="1E35BFCB"/>
    <w:p w14:paraId="7D552A61"/>
    <w:p w14:paraId="4177ECC0"/>
    <w:p w14:paraId="1C85C8B7"/>
    <w:p w14:paraId="1F08FD6F"/>
    <w:p w14:paraId="1AC67AE6"/>
    <w:p w14:paraId="144F837A"/>
    <w:p w14:paraId="479157CA"/>
    <w:p w14:paraId="62BE22F9"/>
    <w:p w14:paraId="0B4F3A37"/>
    <w:p w14:paraId="6A02A17D"/>
    <w:tbl>
      <w:tblPr>
        <w:tblStyle w:val="4"/>
        <w:tblpPr w:leftFromText="180" w:rightFromText="180" w:vertAnchor="page" w:horzAnchor="page" w:tblpX="1713" w:tblpY="2398"/>
        <w:tblOverlap w:val="never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457"/>
        <w:gridCol w:w="1371"/>
        <w:gridCol w:w="992"/>
        <w:gridCol w:w="1701"/>
        <w:gridCol w:w="1843"/>
      </w:tblGrid>
      <w:tr w14:paraId="015C7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B35F">
            <w:pPr>
              <w:jc w:val="center"/>
              <w:rPr>
                <w:rFonts w:hint="default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报价表</w:t>
            </w:r>
          </w:p>
        </w:tc>
      </w:tr>
      <w:tr w14:paraId="0566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2096F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BA0C8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主要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内容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11B0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ZSW1560振动喂料机和PE1200*1500鄂式破碎机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C48E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7B832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0D1D2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合价（元）</w:t>
            </w:r>
          </w:p>
        </w:tc>
      </w:tr>
      <w:tr w14:paraId="665A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4600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5587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轴承</w:t>
            </w:r>
          </w:p>
        </w:tc>
        <w:tc>
          <w:tcPr>
            <w:tcW w:w="13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627F26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292B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7E6A3"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63C2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10C8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B8F1B">
            <w:pPr>
              <w:jc w:val="center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645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齿轮</w:t>
            </w:r>
          </w:p>
        </w:tc>
        <w:tc>
          <w:tcPr>
            <w:tcW w:w="13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7E1A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36D4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3C6A4"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DB05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097B9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C6334"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总金额（含13%税）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23472A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14:paraId="798A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CEF2F">
            <w:pPr>
              <w:jc w:val="both"/>
              <w:rPr>
                <w:rFonts w:hint="default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（含13%税）开具增值税专用发票，银行承兑支付。</w:t>
            </w:r>
            <w:r>
              <w:rPr>
                <w:rFonts w:hint="eastAsia" w:ascii="宋体" w:hAnsi="宋体" w:eastAsia="宋体" w:cs="宋体"/>
                <w:sz w:val="24"/>
              </w:rPr>
              <w:t>甲方于收到发票后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4"/>
              </w:rPr>
              <w:t>日内支付到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货款</w:t>
            </w:r>
            <w:r>
              <w:rPr>
                <w:rFonts w:hint="eastAsia" w:ascii="宋体" w:hAnsi="宋体" w:eastAsia="宋体" w:cs="宋体"/>
                <w:sz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sz w:val="24"/>
              </w:rPr>
              <w:t>% 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剩下</w:t>
            </w:r>
            <w:r>
              <w:rPr>
                <w:rFonts w:hint="eastAsia" w:ascii="宋体" w:hAnsi="宋体" w:eastAsia="宋体" w:cs="宋体"/>
                <w:sz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%作为质保金。质保期满，若无质量问题，经甲方书面确认后，一次性支付剩余质保金（无息）。</w:t>
            </w:r>
          </w:p>
        </w:tc>
      </w:tr>
      <w:tr w14:paraId="2CDB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38E7B">
            <w:pPr>
              <w:jc w:val="both"/>
              <w:rPr>
                <w:rFonts w:hint="default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报价单位：                                 盖章：</w:t>
            </w:r>
          </w:p>
        </w:tc>
      </w:tr>
      <w:tr w14:paraId="3657A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6106B">
            <w:pPr>
              <w:jc w:val="both"/>
              <w:rPr>
                <w:rFonts w:hint="default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联系人：                                   电话：</w:t>
            </w:r>
          </w:p>
        </w:tc>
      </w:tr>
      <w:tr w14:paraId="51BD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5A5A">
            <w:pPr>
              <w:jc w:val="both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日期：2026年 5 月  25日</w:t>
            </w:r>
          </w:p>
        </w:tc>
      </w:tr>
    </w:tbl>
    <w:p w14:paraId="273940D9"/>
    <w:p w14:paraId="3076F5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1206A"/>
    <w:rsid w:val="0FAD2F2B"/>
    <w:rsid w:val="1781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810</Characters>
  <Lines>0</Lines>
  <Paragraphs>0</Paragraphs>
  <TotalTime>0</TotalTime>
  <ScaleCrop>false</ScaleCrop>
  <LinksUpToDate>false</LinksUpToDate>
  <CharactersWithSpaces>958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2026-05-21T03:21:00Z</dcterms:created>
  <dc:creator>换个名字吧</dc:creator>
  <cp:lastModifiedBy>换个名字吧</cp:lastModifiedBy>
  <dcterms:modified xsi:type="dcterms:W3CDTF">2026-05-21T03:30:36Z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5C0D6958090E425287FCE46E69B387F3_11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